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>
        <w:rPr>
          <w:rFonts w:ascii="Verdana" w:hAnsi="Verdana" w:cs="Verdana"/>
          <w:b/>
          <w:bCs/>
          <w:color w:val="000000"/>
        </w:rPr>
        <w:t xml:space="preserve">Le </w:t>
      </w:r>
      <w:r>
        <w:rPr>
          <w:rFonts w:ascii="Verdana" w:hAnsi="Verdana" w:cs="Verdana"/>
          <w:b/>
          <w:bCs/>
          <w:i/>
          <w:iCs/>
          <w:color w:val="000000"/>
        </w:rPr>
        <w:t xml:space="preserve">performance </w:t>
      </w:r>
      <w:r>
        <w:rPr>
          <w:rFonts w:ascii="Verdana" w:hAnsi="Verdana" w:cs="Verdana"/>
          <w:b/>
          <w:bCs/>
          <w:color w:val="000000"/>
        </w:rPr>
        <w:t>delle regioni: Trentino Alto Adige e Veneto al top, Lazio in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>
        <w:rPr>
          <w:rFonts w:ascii="Verdana" w:hAnsi="Verdana" w:cs="Verdana"/>
          <w:b/>
          <w:bCs/>
          <w:color w:val="000000"/>
        </w:rPr>
        <w:t>Difficoltà</w:t>
      </w:r>
    </w:p>
    <w:p w:rsidR="00A8035F" w:rsidRDefault="00A8035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:rsidR="00A8035F" w:rsidRDefault="00A8035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 w:rsidRPr="00A8035F">
        <w:rPr>
          <w:rFonts w:ascii="Verdana" w:hAnsi="Verdana" w:cs="Verdana"/>
          <w:b/>
          <w:bCs/>
          <w:color w:val="000000"/>
        </w:rPr>
        <w:drawing>
          <wp:inline distT="0" distB="0" distL="0" distR="0">
            <wp:extent cx="4406646" cy="2945111"/>
            <wp:effectExtent l="19050" t="0" r="0" b="0"/>
            <wp:docPr id="15" name="Immagine 1" descr="C:\Users\cgiusti\Desktop\rapporto PMI centro nord\grafici regionali\taa e l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iusti\Desktop\rapporto PMI centro nord\grafici regionali\taa e lazi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24" cy="29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5F" w:rsidRDefault="00A8035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Le regioni del Centro-Nord presentano marcate differenze.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Sebbene la Lombardia si confermi la regione con l’apparato produttivo più robusto in termini assoluti, i dati indicano che Trentino Alto Adige, Veneto e Piemonte sono di gran lunga le regioni con le 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performance </w:t>
      </w:r>
      <w:r>
        <w:rPr>
          <w:rFonts w:ascii="Verdana" w:hAnsi="Verdana" w:cs="Verdana"/>
          <w:color w:val="000000"/>
          <w:sz w:val="20"/>
          <w:szCs w:val="20"/>
        </w:rPr>
        <w:t xml:space="preserve">migliori. Il Trentino Alto Adige, in particolare, ha realizzato risultati brillanti: ha fortemente aumentato la platea di PMI (+13,7% rispetto ai livelli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pre-crisi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), è la prima regione per crescita dei ricavi (+8,1% tra 2016 e 2007), ha contenuto la perdita di redditività lorda (solo -0,8% rispetto al 2007 contro una perdita media del 23%), denota un rapporto tra oneri finanziari e MOL contenuto e soprattutto una bassa presenza di PMI in grave ritardo nei pagamenti e con un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Cerved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Group Score in area di rischio. In Veneto e Piemonte i risultati sono positivi ma meno brillanti in termini di recupero del numero di PMI e di ricavi, ma altrettanto incoraggianti riguardo al basso rischio di insolvenza e all’elevata redditività delle società che operano nelle due regioni. Migliori della media nazionale sono anche i risultati delle PMI dell’industria in Emilia Romagna.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Viceversa, i risultati indicano che situazioni di maggiore difficoltà si riscontrano in Umbria e, soprattutto, nel Lazio.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Nonostante la ripresa degli ultimi anni, le PMI laziali sono lontane dai livelli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pre-crisi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in termini di ricavi (-5,8%), devono recuperare ancora più di 40 punti di redditività lorda e denotano livelli di ROE tra i più bassi in Italia (6,1%), devono sopportare un peso ancora elevato degli oneri finanziari (21,7% del MOL), spesso accumulano gravi ritardi e hanno un’elevata probabilità di default (il 17,6% delle PMI della regione ha un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Cerved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Group Score “rischioso”). Una situazione molto simile a quella umbra, in cui la perdita di MOL è anche maggiore (-46%), con indicatori di sostenibilità tra i meno positivi di tutta la penisola.</w:t>
      </w:r>
    </w:p>
    <w:p w:rsidR="00C655AB" w:rsidRDefault="00C655AB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C655AB" w:rsidRDefault="00F84345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>
        <w:rPr>
          <w:rFonts w:ascii="Verdana" w:hAnsi="Verdana" w:cs="HelveticaNeue"/>
          <w:b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999177" cy="2780666"/>
            <wp:effectExtent l="19050" t="0" r="0" b="0"/>
            <wp:docPr id="10" name="Immagine 7" descr="C:\Users\cgiusti\Desktop\rapporto PMI centro nord\grafici regionali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iusti\Desktop\rapporto PMI centro nord\grafici regionali\1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64" cy="27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45" w:rsidRDefault="00F84345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</w:p>
    <w:p w:rsidR="00F84345" w:rsidRPr="00A16F63" w:rsidRDefault="00F84345" w:rsidP="00F84345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In tutte le aree analizzate, la crisi ha prodotto una flessione del numero di PMI, con una perdita particolarmente marcata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nel Centro (-12% tra 2007 e 2014) e comunque consistente anche nel Nord-Est (-7,9%) e nel Nord-Ovest (-5,5%). Dal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2015 è iniziata una positiva inversione di tendenza, che ha acquisito slancio nel 2016, con un aumento del 4% su base</w:t>
      </w:r>
    </w:p>
    <w:p w:rsidR="00F84345" w:rsidRDefault="00F84345" w:rsidP="00F84345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 xml:space="preserve">annua nel Nord-Ovest, del 3,4% nel Nord-Est, del 2,8% nel Centro. Questi miglioramenti hanno consentito al Nord-Ovest di tornare al di sopra dei valori </w:t>
      </w:r>
      <w:proofErr w:type="spellStart"/>
      <w:r w:rsidRPr="00A16F63">
        <w:rPr>
          <w:rFonts w:ascii="Verdana" w:hAnsi="Verdana" w:cs="HelveticaNeue"/>
          <w:sz w:val="20"/>
          <w:szCs w:val="20"/>
        </w:rPr>
        <w:t>pre-crisi</w:t>
      </w:r>
      <w:proofErr w:type="spellEnd"/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(51mila contro 50mila imprese), mentre mancano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ancora all’appello più di mille PMI nel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Nord-Est e ben 2.322 nel Centro.</w:t>
      </w:r>
    </w:p>
    <w:p w:rsidR="00F84345" w:rsidRDefault="00F84345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</w:p>
    <w:p w:rsidR="00B91F85" w:rsidRDefault="00A36CDC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Nell’ambito delle PMI, le piccole imprese (meno di 50 addetti e meno di 10 milioni di ricavi) sono prevalenti in termini numerici,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ma non in termini economici. Nel Centro-Nord hanno sede 20mila medie società (di cui circa un terzo in Lombardia),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che impiegano quasi la metà degli addetti, generando il 54% del fatturato e del valore aggiunto delle PMI dell’area.</w:t>
      </w:r>
    </w:p>
    <w:p w:rsidR="00C655AB" w:rsidRDefault="00C655AB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>
        <w:rPr>
          <w:rFonts w:ascii="Verdana" w:hAnsi="Verdana" w:cs="HelveticaNeue"/>
          <w:noProof/>
          <w:sz w:val="20"/>
          <w:szCs w:val="20"/>
          <w:lang w:eastAsia="it-IT"/>
        </w:rPr>
        <w:drawing>
          <wp:inline distT="0" distB="0" distL="0" distR="0">
            <wp:extent cx="5533186" cy="3163873"/>
            <wp:effectExtent l="19050" t="0" r="0" b="0"/>
            <wp:docPr id="2" name="Immagine 2" descr="C:\Users\cgiusti\Desktop\rapporto PMI centro nord\grafici regionali\tab1.3_vol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iusti\Desktop\rapporto PMI centro nord\grafici regionali\tab1.3_volC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29" cy="31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3F" w:rsidRDefault="00CA0C3F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 w:rsidRPr="00CA0C3F">
        <w:rPr>
          <w:rFonts w:ascii="Verdana" w:hAnsi="Verdana" w:cs="HelveticaNeue"/>
          <w:b/>
          <w:sz w:val="20"/>
          <w:szCs w:val="20"/>
        </w:rPr>
        <w:lastRenderedPageBreak/>
        <w:drawing>
          <wp:inline distT="0" distB="0" distL="0" distR="0">
            <wp:extent cx="6115685" cy="3496945"/>
            <wp:effectExtent l="19050" t="0" r="0" b="0"/>
            <wp:docPr id="5" name="Immagine 4" descr="C:\Users\cgiusti\Desktop\rapporto PMI centro nord\grafici regionali\tab1.4_fattur val agg in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iusti\Desktop\rapporto PMI centro nord\grafici regionali\tab1.4_fattur val agg ind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D0" w:rsidRPr="008555D0" w:rsidRDefault="008555D0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 w:rsidRPr="008555D0">
        <w:rPr>
          <w:rFonts w:ascii="Verdana" w:hAnsi="Verdana" w:cs="HelveticaNeue"/>
          <w:b/>
          <w:sz w:val="20"/>
          <w:szCs w:val="20"/>
        </w:rPr>
        <w:t>SETTORI PRODUTTIVI</w:t>
      </w:r>
    </w:p>
    <w:p w:rsidR="00A36CDC" w:rsidRPr="00A16F63" w:rsidRDefault="00A36CDC" w:rsidP="00A36CDC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La distribuzione territoriale del campione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vede spiccare alcune specializzazioni produttive:</w:t>
      </w:r>
    </w:p>
    <w:p w:rsidR="00A36CDC" w:rsidRPr="00A16F63" w:rsidRDefault="00A36CDC" w:rsidP="00A36CDC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rispetto alla media nazionale, emergono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l’elettromeccanica in Emilia Romagna, il sistema</w:t>
      </w:r>
    </w:p>
    <w:p w:rsidR="00A36CDC" w:rsidRPr="00A16F63" w:rsidRDefault="00A36CDC" w:rsidP="00A36CDC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moda in Toscana, Marche e Veneto, la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lavorazione del metallo in Lombardia e in Piemonte,</w:t>
      </w:r>
    </w:p>
    <w:p w:rsidR="00A36CDC" w:rsidRDefault="00A36CDC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16F63">
        <w:rPr>
          <w:rFonts w:ascii="Verdana" w:hAnsi="Verdana" w:cs="HelveticaNeue"/>
          <w:sz w:val="20"/>
          <w:szCs w:val="20"/>
        </w:rPr>
        <w:t>la logistica in Liguria e la filiera dell’informazione</w:t>
      </w:r>
      <w:r w:rsidR="00A16F63"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e dell’intrattenimento nel Lazio.</w:t>
      </w:r>
    </w:p>
    <w:p w:rsidR="00C655AB" w:rsidRDefault="00C655AB" w:rsidP="00A16F63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>
        <w:rPr>
          <w:rFonts w:ascii="Verdana" w:hAnsi="Verdana" w:cs="HelveticaNeue"/>
          <w:noProof/>
          <w:sz w:val="20"/>
          <w:szCs w:val="20"/>
          <w:lang w:eastAsia="it-IT"/>
        </w:rPr>
        <w:drawing>
          <wp:inline distT="0" distB="0" distL="0" distR="0">
            <wp:extent cx="5606338" cy="4539906"/>
            <wp:effectExtent l="19050" t="0" r="0" b="0"/>
            <wp:docPr id="3" name="Immagine 3" descr="C:\Users\cgiusti\Desktop\rapporto PMI centro nord\grafici regionali\tab1.5_vol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iusti\Desktop\rapporto PMI centro nord\grafici regionali\tab1.5_volC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09" cy="45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5F" w:rsidRDefault="00A8035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lastRenderedPageBreak/>
        <w:t>PMI INDUSTRIA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Tra 2007 e 2015 il Centro ha perso 1.322 PMI industriali (-15,4%), il Nord-Est 1.126 (-8%) e il Nord-Ovest 1.148 (-6,7%). Le imprese industriali rimaste sul mercato fanno tuttavia registrare risultati anche migliori del complesso delle PMI. Cresce il fatturato, soprattutto al Centro (+3,8%) e nel Nord-Est (+3,7%), spinto dai risultati di Trentino Alto Adige, Toscana ed Emilia Romagna.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Crescono a ritmi più sostenuti anche i margini, con maggiore intensità nel Nord-Est (+5,8%), rispetto a Nord-Ovest e Centro (rispettivamente, +4,2% e +4,1%). Anche per le PMI  industriali, però, la redditività lorda rimane molto al di sotto dei livelli del 2007, con una perdita particolarmente pesante per le PMI del Centro (-38,7%) e comunque significativa anche nel Nord-Ovest (-21%) e nel Nord- Est (-16,9%).</w:t>
      </w: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noProof/>
          <w:color w:val="000000"/>
          <w:sz w:val="20"/>
          <w:szCs w:val="20"/>
          <w:lang w:eastAsia="it-IT"/>
        </w:rPr>
      </w:pP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noProof/>
          <w:color w:val="000000"/>
          <w:sz w:val="20"/>
          <w:szCs w:val="20"/>
          <w:lang w:eastAsia="it-IT"/>
        </w:rPr>
      </w:pP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115685" cy="2845435"/>
            <wp:effectExtent l="19050" t="0" r="0" b="0"/>
            <wp:docPr id="7" name="Immagine 6" descr="C:\Users\cgiusti\Desktop\rapporto PMI centro nord\grafici regionali\tab2.7_pmi 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iusti\Desktop\rapporto PMI centro nord\grafici regionali\tab2.7_pmi i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 w:rsidRPr="00CA0C3F">
        <w:rPr>
          <w:rFonts w:ascii="Verdana" w:hAnsi="Verdana" w:cs="Verdana"/>
          <w:b/>
          <w:bCs/>
          <w:color w:val="000000"/>
        </w:rPr>
        <w:drawing>
          <wp:inline distT="0" distB="0" distL="0" distR="0">
            <wp:extent cx="6115685" cy="2999105"/>
            <wp:effectExtent l="19050" t="0" r="0" b="0"/>
            <wp:docPr id="8" name="Immagine 5" descr="C:\Users\cgiusti\Desktop\rapporto PMI centro nord\grafici regionali\tab3.7_fatt 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iusti\Desktop\rapporto PMI centro nord\grafici regionali\tab3.7_fatt i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3F" w:rsidRDefault="00CA0C3F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:rsidR="00F84345" w:rsidRDefault="00F84345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>
        <w:rPr>
          <w:rFonts w:ascii="Verdana" w:hAnsi="Verdana" w:cs="Verdana"/>
          <w:b/>
          <w:bCs/>
          <w:color w:val="000000"/>
        </w:rPr>
        <w:t>Accelerano gli investimenti</w:t>
      </w:r>
    </w:p>
    <w:p w:rsidR="000A0E64" w:rsidRDefault="000A0E64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Dopo la flessione registrata tra il 2011 e il 2014, nel biennio 2015-2016 tornano ad aumentare gli investimenti delle PMI, che toccano il 7,8% delle immobilizzazioni nel Nord e l’8,3% nel Centro. Ancora meglio fanno le imprese industriali, i cui investimenti toccano l’8,7% nel </w:t>
      </w:r>
      <w:r>
        <w:rPr>
          <w:rFonts w:ascii="Verdana" w:hAnsi="Verdana" w:cs="Verdana"/>
          <w:color w:val="000000"/>
          <w:sz w:val="20"/>
          <w:szCs w:val="20"/>
        </w:rPr>
        <w:lastRenderedPageBreak/>
        <w:t>Centro, con un picco del 12,4% in Umbria. Questo potenziale vale 46 miliardi nel Nord-Ovest, 31,5 nel Nord-Est e 16,4 nel Centro e ovunque, se trasformato in investimenti, potrebbe aumentare significativamente la capacità produttiva (nelle tre aree corrisponde a quasi un quarto del totale dell’attivo).</w:t>
      </w:r>
    </w:p>
    <w:p w:rsidR="00F84345" w:rsidRDefault="00F84345" w:rsidP="000A0E6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115685" cy="3204210"/>
            <wp:effectExtent l="19050" t="0" r="0" b="0"/>
            <wp:docPr id="11" name="Immagine 8" descr="C:\Users\cgiusti\Desktop\rapporto PMI centro nord\grafici regionali\tab5.1_inv 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iusti\Desktop\rapporto PMI centro nord\grafici regionali\tab5.1_inv p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45" w:rsidRDefault="007E34D5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>
        <w:rPr>
          <w:rFonts w:ascii="Verdana" w:hAnsi="Verdana" w:cs="HelveticaNeue"/>
          <w:b/>
          <w:noProof/>
          <w:sz w:val="20"/>
          <w:szCs w:val="20"/>
          <w:lang w:eastAsia="it-IT"/>
        </w:rPr>
        <w:drawing>
          <wp:inline distT="0" distB="0" distL="0" distR="0">
            <wp:extent cx="6115685" cy="2933700"/>
            <wp:effectExtent l="19050" t="0" r="0" b="0"/>
            <wp:docPr id="13" name="Immagine 10" descr="C:\Users\cgiusti\Desktop\rapporto PMI centro nord\grafici regionali\tab5.6_inv i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giusti\Desktop\rapporto PMI centro nord\grafici regionali\tab5.6_inv ind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5F" w:rsidRDefault="00A8035F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</w:p>
    <w:p w:rsidR="00CA0C3F" w:rsidRPr="008555D0" w:rsidRDefault="00CA0C3F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 w:rsidRPr="008555D0">
        <w:rPr>
          <w:rFonts w:ascii="Verdana" w:hAnsi="Verdana" w:cs="HelveticaNeue"/>
          <w:b/>
          <w:sz w:val="20"/>
          <w:szCs w:val="20"/>
        </w:rPr>
        <w:t xml:space="preserve">PAGAMENTI </w:t>
      </w:r>
    </w:p>
    <w:p w:rsidR="00CA0C3F" w:rsidRDefault="00CA0C3F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>
        <w:rPr>
          <w:rFonts w:ascii="Verdana" w:hAnsi="Verdana" w:cs="HelveticaNeue"/>
          <w:sz w:val="20"/>
          <w:szCs w:val="20"/>
        </w:rPr>
        <w:t>M</w:t>
      </w:r>
      <w:r w:rsidRPr="00A16F63">
        <w:rPr>
          <w:rFonts w:ascii="Verdana" w:hAnsi="Verdana" w:cs="HelveticaNeue"/>
          <w:sz w:val="20"/>
          <w:szCs w:val="20"/>
        </w:rPr>
        <w:t>igliora anche la puntualità delle PMI del Centro-Nord nel pagamento delle proprie controparti commerciali: in tutte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le aree analizzate, si riducono i giorni di ritardo, con le PMI del Nord-Est che si confermano più puntuali (7,5 giorni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medi di ritardo, contro i 9,4 di quelle del Nord-Ovest e i 13,8 di quelle del Centro) e più rapide a liquidare le proprie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fatture (68,2 giorni, contro 71,4 del Nord-Ovest e 71,6 del Centro). Rispetto al 2012 i progressi più consistenti si osservano</w:t>
      </w:r>
      <w:r>
        <w:rPr>
          <w:rFonts w:ascii="Verdana" w:hAnsi="Verdana" w:cs="HelveticaNeue"/>
          <w:sz w:val="20"/>
          <w:szCs w:val="20"/>
        </w:rPr>
        <w:t xml:space="preserve"> </w:t>
      </w:r>
      <w:r w:rsidRPr="00A16F63">
        <w:rPr>
          <w:rFonts w:ascii="Verdana" w:hAnsi="Verdana" w:cs="HelveticaNeue"/>
          <w:sz w:val="20"/>
          <w:szCs w:val="20"/>
        </w:rPr>
        <w:t>nelle regioni centrali, che hanno fatto registrare una riduzione di oltre 10 giorni in 5 anni.</w:t>
      </w:r>
    </w:p>
    <w:p w:rsidR="00A8035F" w:rsidRDefault="00A8035F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</w:p>
    <w:p w:rsidR="00B475E6" w:rsidRPr="00A8035F" w:rsidRDefault="00B475E6" w:rsidP="00CA0C3F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b/>
          <w:sz w:val="20"/>
          <w:szCs w:val="20"/>
        </w:rPr>
      </w:pPr>
      <w:r w:rsidRPr="00A8035F">
        <w:rPr>
          <w:rFonts w:ascii="Verdana" w:hAnsi="Verdana" w:cs="HelveticaNeue"/>
          <w:b/>
          <w:sz w:val="20"/>
          <w:szCs w:val="20"/>
        </w:rPr>
        <w:t>CAPITALE NETTO E INDEBITAMENTO</w:t>
      </w:r>
    </w:p>
    <w:p w:rsidR="00B475E6" w:rsidRPr="00A8035F" w:rsidRDefault="00B475E6" w:rsidP="00B475E6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8035F">
        <w:rPr>
          <w:rFonts w:ascii="Verdana" w:hAnsi="Verdana" w:cs="HelveticaNeue"/>
          <w:sz w:val="20"/>
          <w:szCs w:val="20"/>
        </w:rPr>
        <w:t xml:space="preserve">Dopo quattro anni, tornano a salire nel 2016 i debiti finanziari delle PMI italiane (+1,1%), ma non in tutta la Penisola. L’allentamento del </w:t>
      </w:r>
      <w:proofErr w:type="spellStart"/>
      <w:r w:rsidRPr="00A8035F">
        <w:rPr>
          <w:rFonts w:ascii="Verdana" w:hAnsi="Verdana" w:cs="HelveticaNeue-Italic"/>
          <w:i/>
          <w:iCs/>
          <w:sz w:val="20"/>
          <w:szCs w:val="20"/>
        </w:rPr>
        <w:t>credit</w:t>
      </w:r>
      <w:proofErr w:type="spellEnd"/>
      <w:r w:rsidRPr="00A8035F">
        <w:rPr>
          <w:rFonts w:ascii="Verdana" w:hAnsi="Verdana" w:cs="HelveticaNeue-Italic"/>
          <w:i/>
          <w:iCs/>
          <w:sz w:val="20"/>
          <w:szCs w:val="20"/>
        </w:rPr>
        <w:t xml:space="preserve"> </w:t>
      </w:r>
      <w:proofErr w:type="spellStart"/>
      <w:r w:rsidRPr="00A8035F">
        <w:rPr>
          <w:rFonts w:ascii="Verdana" w:hAnsi="Verdana" w:cs="HelveticaNeue-Italic"/>
          <w:i/>
          <w:iCs/>
          <w:sz w:val="20"/>
          <w:szCs w:val="20"/>
        </w:rPr>
        <w:t>crunch</w:t>
      </w:r>
      <w:proofErr w:type="spellEnd"/>
      <w:r w:rsidRPr="00A8035F">
        <w:rPr>
          <w:rFonts w:ascii="Verdana" w:hAnsi="Verdana" w:cs="HelveticaNeue-Italic"/>
          <w:i/>
          <w:iCs/>
          <w:sz w:val="20"/>
          <w:szCs w:val="20"/>
        </w:rPr>
        <w:t xml:space="preserve"> </w:t>
      </w:r>
      <w:r w:rsidRPr="00A8035F">
        <w:rPr>
          <w:rFonts w:ascii="Verdana" w:hAnsi="Verdana" w:cs="HelveticaNeue"/>
          <w:sz w:val="20"/>
          <w:szCs w:val="20"/>
        </w:rPr>
        <w:t>si osserva nel Nord-Ovest (+2,1%) e nel Centro (+0,5%), ma non nel Nord-Est, che anche nel 2016 continua a far registrare una, sia pur lieve, riduzione (-0,1%) dell’indebitamento. Parallelamente, nel corso del 2016 è proseguito a ritmi sostenuti il rafforzamento del capitale proprio, con un aumento</w:t>
      </w:r>
    </w:p>
    <w:p w:rsidR="00B475E6" w:rsidRDefault="00B475E6" w:rsidP="00B475E6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 w:rsidRPr="00A8035F">
        <w:rPr>
          <w:rFonts w:ascii="Verdana" w:hAnsi="Verdana" w:cs="HelveticaNeue"/>
          <w:sz w:val="20"/>
          <w:szCs w:val="20"/>
        </w:rPr>
        <w:lastRenderedPageBreak/>
        <w:t>del patrimonio netto del 5,4% nel Nord-Est, del 4,6% nel Centro e del 4,5% nel Nord-Ovest. Questo processo consolida una tendenza in atto da anni, che ha portato il capitale netto delle PMI di oltre 50 punti sopra ai livelli del 2007 nel Nord-Est, di 44,5 punti nel Nord-Ovest e di 37 punti nel Centro. Gli effetti sulla sostenibilità dei debiti finanziari sono molto positivi: pesano per circa il 70% del capitale netto nel Nord e per l’85% nel Centro, molto distanti dai livelli del 2007.</w:t>
      </w:r>
    </w:p>
    <w:p w:rsidR="00A8035F" w:rsidRDefault="00A8035F" w:rsidP="00B475E6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"/>
          <w:sz w:val="20"/>
          <w:szCs w:val="20"/>
        </w:rPr>
      </w:pPr>
      <w:r>
        <w:rPr>
          <w:rFonts w:ascii="Verdana" w:hAnsi="Verdana" w:cs="HelveticaNeue"/>
          <w:noProof/>
          <w:sz w:val="20"/>
          <w:szCs w:val="20"/>
          <w:lang w:eastAsia="it-IT"/>
        </w:rPr>
        <w:drawing>
          <wp:inline distT="0" distB="0" distL="0" distR="0">
            <wp:extent cx="6115685" cy="3686810"/>
            <wp:effectExtent l="19050" t="0" r="0" b="0"/>
            <wp:docPr id="14" name="Immagine 11" descr="C:\Users\cgiusti\Desktop\DIP BAN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giusti\Desktop\DIP BANCH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35F" w:rsidSect="00B91F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Ita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36CDC"/>
    <w:rsid w:val="000A0E64"/>
    <w:rsid w:val="0016033C"/>
    <w:rsid w:val="00161FB8"/>
    <w:rsid w:val="001719D2"/>
    <w:rsid w:val="00183DAF"/>
    <w:rsid w:val="001D0865"/>
    <w:rsid w:val="00287700"/>
    <w:rsid w:val="002B0DA1"/>
    <w:rsid w:val="00343A1F"/>
    <w:rsid w:val="00574D05"/>
    <w:rsid w:val="007811DC"/>
    <w:rsid w:val="007E34D5"/>
    <w:rsid w:val="008555D0"/>
    <w:rsid w:val="008E405C"/>
    <w:rsid w:val="009F4DEC"/>
    <w:rsid w:val="00A16F63"/>
    <w:rsid w:val="00A36CDC"/>
    <w:rsid w:val="00A8035F"/>
    <w:rsid w:val="00B164F3"/>
    <w:rsid w:val="00B475E6"/>
    <w:rsid w:val="00B50C50"/>
    <w:rsid w:val="00B91F85"/>
    <w:rsid w:val="00C655AB"/>
    <w:rsid w:val="00CA0C3F"/>
    <w:rsid w:val="00CF0DAB"/>
    <w:rsid w:val="00D66AB8"/>
    <w:rsid w:val="00D90BAA"/>
    <w:rsid w:val="00F84345"/>
    <w:rsid w:val="00FB1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D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Confindustria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cgiusti</dc:creator>
  <cp:lastModifiedBy>cgiusti</cp:lastModifiedBy>
  <cp:revision>4</cp:revision>
  <dcterms:created xsi:type="dcterms:W3CDTF">2018-05-03T08:12:00Z</dcterms:created>
  <dcterms:modified xsi:type="dcterms:W3CDTF">2018-05-03T13:32:00Z</dcterms:modified>
</cp:coreProperties>
</file>